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20" w:afterLines="0"/>
        <w:ind w:left="8051"/>
        <w:rPr>
          <w:rFonts w:hint="default"/>
          <w:sz w:val="16"/>
        </w:rPr>
      </w:pPr>
      <w:r>
        <w:rPr>
          <w:rFonts w:hint="default"/>
          <w:sz w:val="16"/>
        </w:rPr>
        <w:t>Приложение 2</w:t>
      </w:r>
      <w:r>
        <w:rPr>
          <w:rFonts w:hint="default"/>
          <w:sz w:val="16"/>
        </w:rPr>
        <w:br w:type="textWrapping"/>
      </w:r>
      <w:r>
        <w:rPr>
          <w:rFonts w:hint="default"/>
          <w:sz w:val="16"/>
        </w:rPr>
        <w:t>к Положению Банка России</w:t>
      </w:r>
      <w:r>
        <w:rPr>
          <w:rFonts w:hint="default"/>
          <w:sz w:val="16"/>
        </w:rPr>
        <w:br w:type="textWrapping"/>
      </w:r>
      <w:r>
        <w:rPr>
          <w:rFonts w:hint="default"/>
          <w:sz w:val="16"/>
        </w:rPr>
        <w:t>от 19 июня 2012 года № 383-П</w:t>
      </w:r>
      <w:r>
        <w:rPr>
          <w:rFonts w:hint="default"/>
          <w:sz w:val="16"/>
        </w:rPr>
        <w:br w:type="textWrapping"/>
      </w:r>
      <w:r>
        <w:rPr>
          <w:rFonts w:hint="default"/>
          <w:sz w:val="16"/>
        </w:rPr>
        <w:t>“О правилах осуществления перевода денежных средств”</w:t>
      </w:r>
    </w:p>
    <w:tbl>
      <w:tblPr>
        <w:tblStyle w:val="11"/>
        <w:tblW w:w="1020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0401060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both"/>
              <w:rPr>
                <w:rFonts w:hint="default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both"/>
              <w:rPr>
                <w:rFonts w:hint="default"/>
                <w:sz w:val="16"/>
              </w:rPr>
            </w:pPr>
          </w:p>
        </w:tc>
      </w:tr>
    </w:tbl>
    <w:p>
      <w:pPr>
        <w:spacing w:beforeLines="0" w:afterLines="0"/>
        <w:rPr>
          <w:rFonts w:hint="default"/>
          <w:sz w:val="20"/>
        </w:rPr>
      </w:pPr>
    </w:p>
    <w:tbl>
      <w:tblPr>
        <w:tblStyle w:val="11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center" w:pos="4111"/>
              </w:tabs>
              <w:spacing w:beforeLines="0" w:afterLines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ПЛАТЕЖНОЕ ПОРУЧЕНИЕ № </w:t>
            </w:r>
            <w:r>
              <w:rPr>
                <w:rFonts w:hint="default"/>
                <w:b/>
                <w:sz w:val="24"/>
              </w:rPr>
              <w:tab/>
            </w:r>
            <w:r>
              <w:rPr>
                <w:rFonts w:hint="default"/>
                <w:b/>
                <w:color w:val="FF0000"/>
                <w:sz w:val="24"/>
              </w:rPr>
              <w:t>1679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02.12.2019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</w:tr>
    </w:tbl>
    <w:p>
      <w:pPr>
        <w:spacing w:beforeLines="0" w:afterLines="0"/>
        <w:rPr>
          <w:rFonts w:hint="default"/>
          <w:sz w:val="16"/>
        </w:rPr>
      </w:pPr>
    </w:p>
    <w:tbl>
      <w:tblPr>
        <w:tblStyle w:val="11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Сумма</w:t>
            </w:r>
          </w:p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Двадцать девять тысяч триста пятьдесят четыре рубля 00 копеек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</w:rPr>
              <w:t xml:space="preserve">ИНН </w:t>
            </w:r>
            <w:r>
              <w:rPr>
                <w:rFonts w:hint="default"/>
                <w:color w:val="FF0000"/>
                <w:sz w:val="20"/>
              </w:rPr>
              <w:t>772597531024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КПП </w:t>
            </w:r>
            <w:r>
              <w:rPr>
                <w:rFonts w:hint="default"/>
                <w:color w:val="FF0000"/>
                <w:sz w:val="20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29</w:t>
            </w:r>
            <w:r>
              <w:rPr>
                <w:rFonts w:hint="default"/>
                <w:color w:val="FF0000"/>
                <w:sz w:val="20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20"/>
              </w:rPr>
              <w:t>354-00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Сергеев Алексей Алексеевич (ИП) // 115419, г. Москва, Донская ул., 28А, кв. 76//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40817810238118326072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044525225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30101810400000000225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044525000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</w:rPr>
              <w:t xml:space="preserve">ИНН </w:t>
            </w:r>
            <w:r>
              <w:rPr>
                <w:rFonts w:hint="default"/>
                <w:color w:val="FF0000"/>
                <w:sz w:val="20"/>
              </w:rPr>
              <w:t>7725068979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</w:rPr>
              <w:t xml:space="preserve">КПП </w:t>
            </w:r>
            <w:r>
              <w:rPr>
                <w:rFonts w:hint="default"/>
                <w:color w:val="FF0000"/>
                <w:sz w:val="20"/>
              </w:rPr>
              <w:t>772501001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40101810045250010041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 xml:space="preserve">УФК по г. Москве (ИФНС России </w:t>
            </w:r>
            <w:r>
              <w:rPr>
                <w:rFonts w:hint="default"/>
                <w:color w:val="FF0000"/>
                <w:sz w:val="20"/>
                <w:lang w:val="en-US"/>
              </w:rPr>
              <w:t>N</w:t>
            </w:r>
            <w:r>
              <w:rPr>
                <w:rFonts w:hint="default"/>
                <w:color w:val="FF0000"/>
                <w:sz w:val="20"/>
              </w:rPr>
              <w:t xml:space="preserve"> 25 по г. Москве)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  <w:lang w:val="en-US"/>
              </w:rPr>
            </w:pPr>
            <w:r>
              <w:rPr>
                <w:rFonts w:hint="default"/>
                <w:color w:val="FF0000"/>
                <w:sz w:val="2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color w:val="FF0000"/>
                <w:sz w:val="20"/>
                <w:lang w:val="en-US"/>
              </w:rPr>
            </w:pPr>
            <w:r>
              <w:rPr>
                <w:rFonts w:hint="default"/>
                <w:color w:val="FF0000"/>
                <w:sz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57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18210202140061110160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45915000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ТП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ГД.00.2019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color w:val="FF0000"/>
                <w:sz w:val="20"/>
              </w:rPr>
            </w:pPr>
            <w:r>
              <w:rPr>
                <w:rFonts w:hint="default"/>
                <w:color w:val="FF0000"/>
                <w:sz w:val="20"/>
              </w:rPr>
              <w:t>Страховые взносы на обязательное пенсионное страхование в фиксированном размере, зачисляемые в бюджет ПФР на выплату страховой пенсии за 2019 г.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beforeLines="0" w:after="360" w:afterLines="0"/>
        <w:rPr>
          <w:rFonts w:hint="default"/>
          <w:sz w:val="20"/>
        </w:rPr>
      </w:pPr>
      <w:r>
        <w:rPr>
          <w:rFonts w:hint="default"/>
          <w:sz w:val="20"/>
        </w:rPr>
        <w:tab/>
      </w:r>
      <w:r>
        <w:rPr>
          <w:rFonts w:hint="default"/>
          <w:sz w:val="20"/>
        </w:rPr>
        <w:t>Подписи</w:t>
      </w:r>
      <w:r>
        <w:rPr>
          <w:rFonts w:hint="default"/>
          <w:sz w:val="20"/>
        </w:rPr>
        <w:tab/>
      </w:r>
      <w:r>
        <w:rPr>
          <w:rFonts w:hint="default"/>
          <w:sz w:val="20"/>
        </w:rPr>
        <w:t>Отметки банка</w:t>
      </w:r>
    </w:p>
    <w:tbl>
      <w:tblPr>
        <w:tblStyle w:val="11"/>
        <w:tblW w:w="1020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FF0000"/>
                <w:sz w:val="20"/>
              </w:rPr>
            </w:pPr>
            <w:r>
              <w:rPr>
                <w:rFonts w:hint="default"/>
                <w:i/>
                <w:color w:val="FF0000"/>
                <w:sz w:val="20"/>
              </w:rPr>
              <w:t>Сергеев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left="-28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spacing w:beforeLines="0" w:afterLines="0"/>
        <w:rPr>
          <w:rFonts w:hint="default"/>
          <w:sz w:val="20"/>
        </w:rPr>
      </w:pPr>
    </w:p>
    <w:sectPr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2E7FFD"/>
    <w:rsid w:val="55B13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autoSpaceDE w:val="0"/>
      <w:autoSpaceDN w:val="0"/>
      <w:spacing w:beforeLines="0" w:afterLines="0"/>
    </w:pPr>
    <w:rPr>
      <w:rFonts w:hint="eastAsia" w:ascii="Times New Roman" w:hAnsi="Times New Roman" w:eastAsia="Times New Roman"/>
      <w:sz w:val="20"/>
      <w:lang w:val="ru-RU" w:eastAsia="ru-RU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pPr>
      <w:spacing w:beforeLines="0" w:afterLines="0"/>
    </w:pPr>
    <w:rPr>
      <w:rFonts w:hint="eastAsia" w:ascii="Tahoma" w:hAnsi="Tahoma"/>
      <w:sz w:val="16"/>
    </w:rPr>
  </w:style>
  <w:style w:type="paragraph" w:styleId="3">
    <w:name w:val="annotation text"/>
    <w:basedOn w:val="1"/>
    <w:link w:val="14"/>
    <w:unhideWhenUsed/>
    <w:uiPriority w:val="99"/>
    <w:pPr>
      <w:spacing w:beforeLines="0" w:afterLines="0"/>
    </w:pPr>
    <w:rPr>
      <w:rFonts w:hint="eastAsia"/>
      <w:sz w:val="20"/>
    </w:rPr>
  </w:style>
  <w:style w:type="paragraph" w:styleId="4">
    <w:name w:val="annotation subject"/>
    <w:basedOn w:val="3"/>
    <w:next w:val="3"/>
    <w:link w:val="16"/>
    <w:unhideWhenUsed/>
    <w:uiPriority w:val="99"/>
    <w:pPr>
      <w:spacing w:beforeLines="0" w:afterLines="0"/>
    </w:pPr>
    <w:rPr>
      <w:rFonts w:hint="eastAsia"/>
      <w:b/>
      <w:sz w:val="20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eastAsia"/>
      <w:sz w:val="20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eastAsia"/>
      <w:sz w:val="20"/>
    </w:rPr>
  </w:style>
  <w:style w:type="character" w:styleId="8">
    <w:name w:val="FollowedHyperlink"/>
    <w:basedOn w:val="7"/>
    <w:unhideWhenUsed/>
    <w:uiPriority w:val="99"/>
    <w:rPr>
      <w:rFonts w:hint="default" w:ascii="Times New Roman"/>
      <w:color w:val="800080"/>
      <w:sz w:val="24"/>
      <w:u w:val="single"/>
    </w:rPr>
  </w:style>
  <w:style w:type="character" w:styleId="9">
    <w:name w:val="annotation reference"/>
    <w:basedOn w:val="7"/>
    <w:unhideWhenUsed/>
    <w:uiPriority w:val="99"/>
    <w:rPr>
      <w:rFonts w:hint="default" w:ascii="Times New Roman"/>
      <w:sz w:val="16"/>
    </w:rPr>
  </w:style>
  <w:style w:type="character" w:styleId="10">
    <w:name w:val="Hyperlink"/>
    <w:basedOn w:val="7"/>
    <w:unhideWhenUsed/>
    <w:uiPriority w:val="99"/>
    <w:rPr>
      <w:rFonts w:hint="default" w:ascii="Times New Roman"/>
      <w:color w:val="0000FF"/>
      <w:sz w:val="24"/>
      <w:u w:val="single"/>
    </w:rPr>
  </w:style>
  <w:style w:type="character" w:customStyle="1" w:styleId="12">
    <w:name w:val="Верхний колонтитул Знак"/>
    <w:basedOn w:val="7"/>
    <w:link w:val="5"/>
    <w:unhideWhenUsed/>
    <w:locked/>
    <w:uiPriority w:val="99"/>
    <w:rPr>
      <w:rFonts w:hint="default" w:ascii="Times New Roman"/>
      <w:sz w:val="20"/>
    </w:rPr>
  </w:style>
  <w:style w:type="character" w:customStyle="1" w:styleId="13">
    <w:name w:val="Нижний колонтитул Знак"/>
    <w:basedOn w:val="7"/>
    <w:link w:val="6"/>
    <w:unhideWhenUsed/>
    <w:locked/>
    <w:uiPriority w:val="99"/>
    <w:rPr>
      <w:rFonts w:hint="default" w:ascii="Times New Roman"/>
      <w:sz w:val="20"/>
    </w:rPr>
  </w:style>
  <w:style w:type="character" w:customStyle="1" w:styleId="14">
    <w:name w:val="Текст примечания Знак"/>
    <w:basedOn w:val="7"/>
    <w:link w:val="3"/>
    <w:unhideWhenUsed/>
    <w:locked/>
    <w:uiPriority w:val="99"/>
    <w:rPr>
      <w:rFonts w:hint="default" w:ascii="Times New Roman"/>
      <w:sz w:val="20"/>
    </w:rPr>
  </w:style>
  <w:style w:type="character" w:customStyle="1" w:styleId="15">
    <w:name w:val="Текст выноски Знак"/>
    <w:basedOn w:val="7"/>
    <w:link w:val="2"/>
    <w:unhideWhenUsed/>
    <w:locked/>
    <w:uiPriority w:val="99"/>
    <w:rPr>
      <w:rFonts w:hint="default" w:ascii="Tahoma"/>
      <w:sz w:val="16"/>
    </w:rPr>
  </w:style>
  <w:style w:type="character" w:customStyle="1" w:styleId="16">
    <w:name w:val="Тема примечания Знак"/>
    <w:basedOn w:val="14"/>
    <w:link w:val="4"/>
    <w:unhideWhenUsed/>
    <w:locked/>
    <w:uiPriority w:val="99"/>
    <w:rPr>
      <w:rFonts w:hint="default"/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162</Words>
  <Characters>868</Characters>
  <TotalTime>133</TotalTime>
  <ScaleCrop>false</ScaleCrop>
  <LinksUpToDate>false</LinksUpToDate>
  <CharactersWithSpaces>982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2019-12-24T10:42:51Z</dcterms:created>
  <dc:creator>Редактор</dc:creator>
  <cp:lastModifiedBy>Редактор</cp:lastModifiedBy>
  <dcterms:modified xsi:type="dcterms:W3CDTF">2019-12-24T13:25:39Z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