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C" w:rsidRDefault="00D635FC">
      <w:pPr>
        <w:pStyle w:val="ConsPlusNormal"/>
        <w:spacing w:before="220"/>
        <w:jc w:val="center"/>
      </w:pPr>
      <w:r>
        <w:t>Аудиторский запрос на представление документов</w:t>
      </w:r>
    </w:p>
    <w:p w:rsidR="00D635FC" w:rsidRDefault="00D635FC">
      <w:pPr>
        <w:pStyle w:val="ConsPlusNormal"/>
        <w:jc w:val="center"/>
      </w:pPr>
      <w:r>
        <w:t>и информации для оценки депозитной и процентной политики,</w:t>
      </w:r>
    </w:p>
    <w:p w:rsidR="00D635FC" w:rsidRDefault="00D635FC">
      <w:pPr>
        <w:pStyle w:val="ConsPlusNormal"/>
        <w:jc w:val="center"/>
      </w:pPr>
      <w:r>
        <w:t>организации работы по вкладам граждан</w:t>
      </w:r>
    </w:p>
    <w:p w:rsidR="00D635FC" w:rsidRDefault="00D63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463"/>
        <w:gridCol w:w="1814"/>
      </w:tblGrid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D635FC" w:rsidRDefault="00D635FC">
            <w:pPr>
              <w:pStyle w:val="ConsPlusNormal"/>
              <w:jc w:val="center"/>
            </w:pPr>
            <w:r>
              <w:t>Запрашиваемые документы, вопросы по организации работы</w:t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:rsidR="00D635FC" w:rsidRDefault="00D635FC">
            <w:pPr>
              <w:pStyle w:val="ConsPlusNormal"/>
              <w:jc w:val="center"/>
            </w:pPr>
            <w:r>
              <w:t>Ответ банка, комментарии</w:t>
            </w: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Представить копии внутренних документов по утверждению условий и процентных ставок по привлечению средств юридических и физических лиц, в том числе депозитную и процентную политику банка, протоколы правления (совета директоров) банка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Указать интервал процентных ставок по срочным вкладам (</w:t>
            </w:r>
            <w:proofErr w:type="gramStart"/>
            <w:r>
              <w:t>от</w:t>
            </w:r>
            <w:proofErr w:type="gramEnd"/>
            <w:r>
              <w:t xml:space="preserve"> и до (%)) по: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рублевым вкладам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валютным вкладам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рублевым вкладам юридических лиц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валютным вкладам юридических лиц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Заключались ли </w:t>
            </w:r>
            <w:r>
              <w:rPr>
                <w:b/>
              </w:rPr>
              <w:t>договоры вклада или дополнительные соглашения</w:t>
            </w:r>
            <w:r>
              <w:t xml:space="preserve"> к договорам вклада с физическими лицами, условия которых предусматривают: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процентные ставки свыше двух пунктов базового уровня доходности, публикуемого на сайте Банка России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ставки, при которых согласно </w:t>
            </w:r>
            <w:r>
              <w:rPr>
                <w:color w:val="0000FF"/>
              </w:rPr>
              <w:t>статье 214.2</w:t>
            </w:r>
            <w:r>
              <w:t xml:space="preserve"> НК РФ возникала база по НДФЛ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процентные ставки выше ежемесячно устанавливаемого Банком России базового уровня доходности по вкладам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3.4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возможность частичного снятия сумм вклада без потери в начисляемых процентах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3.5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выплату процентов при досрочном истребовании вклада с сохранением ставки процента, первоначально установленной в договоре вклада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3.6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возможность открытия вклада не через кассу банка или обособленных подразделений, а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банк-партнер</w:t>
            </w:r>
            <w:proofErr w:type="gramEnd"/>
            <w:r>
              <w:t xml:space="preserve"> и первоначальное поступление средств в безналичном порядке из банка-партнера, в том числе со счета 40911 или 40817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3.7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возможность пополнения в безналичном порядке из банка-партнера, в том числе со счета 40911 или 40817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3.8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наличие в договорах какого-либо иного нестандартного условия в пользу клиента (например, подарков, индивидуальных условий в части процентной ставки, срока или суммы вклада, доплаты </w:t>
            </w:r>
            <w:r>
              <w:lastRenderedPageBreak/>
              <w:t>процентов от организации - партнера банка, причисления бонуса к остатку вклада в день его открытия и др.)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По какой ставке банк уплачивает взносы в АСВ (указать ставку)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4.1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Применялась ли дополнительная ставка по взносам в АСВ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Если да, то указать ставку и временной период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4.2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Применялась ли повышенная ставка по взносам в АСВ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Если применялась, то указать ставку и временной период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4.3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Налагались ли на банк ограничения на открытие счетов и привлечение средств во вклады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Если да, то указать вид ограничения и временной период (с </w:t>
            </w:r>
            <w:proofErr w:type="gramStart"/>
            <w:r>
              <w:t>какого</w:t>
            </w:r>
            <w:proofErr w:type="gramEnd"/>
            <w:r>
              <w:t xml:space="preserve"> и по </w:t>
            </w:r>
            <w:proofErr w:type="gramStart"/>
            <w:r>
              <w:t>какое</w:t>
            </w:r>
            <w:proofErr w:type="gramEnd"/>
            <w:r>
              <w:t xml:space="preserve"> время действуют или действовали ограничения)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5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Заключал ли банк договоры с третьими лицами для целей привлечения клиентов, вкладчиков для банка за комиссионное вознаграждение, в том числе: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клиентов юридических лиц или ИП на обслуживание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клиентов физических лиц на обслуживание карт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физических лиц в качестве вкладчиков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депозитов юридических лиц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6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Являются ли данные договоры действующими на настоящий момент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7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Являются ли данные договоры для банка эффективными и выгодными согласно оценке службы внутреннего аудита (</w:t>
            </w:r>
            <w:r>
              <w:rPr>
                <w:color w:val="0000FF"/>
              </w:rPr>
              <w:t>п. 4.1.6</w:t>
            </w:r>
            <w:r>
              <w:t xml:space="preserve"> Положения Банка России N 242-П)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8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Являются ли лица, с которыми заключены договоры на привлечение клиентов, вкладчиков, связанными с банком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8.1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Если банк заключал договоры о привлечении для банка клиентов, вкладчиков, указать лиц, с которыми заключены такие договоры, и раскрыть связь этих лиц с банком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9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Имели ли место случаи неисполнения обязательств по договорам на привлечение сре</w:t>
            </w:r>
            <w:proofErr w:type="gramStart"/>
            <w:r>
              <w:t>дств вкл</w:t>
            </w:r>
            <w:proofErr w:type="gramEnd"/>
            <w:r>
              <w:t>адчиков (открывались балансовые счета 47603, 47605, 47608, 47609)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10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Осуществляется ли раскрытие информации о процентных ставках по договорам банковского вклада с физическими лицами (в целом по кредитной организации без раскрытия информации по отдельным физическим лицам) и информации о задолженности кредитной организации по вкладам физических лиц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Имели ли место факты: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lastRenderedPageBreak/>
              <w:t>11.1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выплаты процентов при досрочном истребовании вклада с сохранением первоначальной ставки процента, на основании заключаемых дополнительных соглашений к договору вклада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11.2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выплаты процентов по вкладам </w:t>
            </w:r>
            <w:proofErr w:type="spellStart"/>
            <w:r>
              <w:t>неденежными</w:t>
            </w:r>
            <w:proofErr w:type="spellEnd"/>
            <w:r>
              <w:t xml:space="preserve"> средствами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Имели ли место по договорам банковского вклада (депозита), внесенного гражданином на условиях его выдачи по истечении определенного срока либо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наступлении</w:t>
            </w:r>
            <w:proofErr w:type="gramEnd"/>
            <w:r>
              <w:t xml:space="preserve"> предусмотренных договором обстоятельств, </w:t>
            </w:r>
            <w:r>
              <w:rPr>
                <w:b/>
              </w:rPr>
              <w:t>инициированные кредитной организацией</w:t>
            </w:r>
            <w:r>
              <w:t xml:space="preserve"> факты: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12.1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одностороннего сокращения срока действия (расторжения) этого договора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12.2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одностороннего уменьшения размера процентов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12.3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одностороннего увеличения или установления комиссионного вознаграждения по операциям, за исключением случаев, предусмотренных федеральным законом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Лицевые счета вкладчикам открываются и ведутся: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в общей базе счетов программы "Операционный день банка"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в отдельной подпрограмме, сводные данные из которой переносятся в </w:t>
            </w:r>
            <w:proofErr w:type="gramStart"/>
            <w:r>
              <w:t>базу программы</w:t>
            </w:r>
            <w:proofErr w:type="gramEnd"/>
            <w:r>
              <w:t xml:space="preserve"> "Операционный день банка"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14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Отличаются ли используемые обособленными подразделениями программные продукты для учета операций по вкладам от программ, используемых головным офисом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14.1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Если программные продукты отличаются, то какие установлены процедуры </w:t>
            </w:r>
            <w:proofErr w:type="gramStart"/>
            <w:r>
              <w:t>контроля за</w:t>
            </w:r>
            <w:proofErr w:type="gramEnd"/>
            <w:r>
              <w:t xml:space="preserve"> достоверностью переноса данных по совершенным операциям по вкладам граждан (описать)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15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Каким внутренним нормативным документом банка определен порядок, позволяющий по истечении отчетного года присваивать в новом году номера лицевых счетов, закрытых в отчетном году:</w:t>
            </w:r>
          </w:p>
          <w:p w:rsidR="00D635FC" w:rsidRDefault="00D635FC">
            <w:pPr>
              <w:pStyle w:val="ConsPlusNormal"/>
            </w:pPr>
            <w:r>
              <w:t>- для отражения на них операций по новым договорам с владельцем закрытого счета;</w:t>
            </w:r>
          </w:p>
          <w:p w:rsidR="00D635FC" w:rsidRDefault="00D635FC">
            <w:pPr>
              <w:pStyle w:val="ConsPlusNormal"/>
            </w:pPr>
            <w:r>
              <w:t>- для присвоения ранее закрытых лицевых счетов новым клиентам банка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15.1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указать, какое должностное лицо банка ответственно за открытие лицевых счетов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15.2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указать, какое должностное лицо банка ответственно за отправку сообщений в налоговый орган об открытии банковского счета (вклада) физического лица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15.3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- указать, наделено ли должностное лицо полномочиями лично </w:t>
            </w:r>
            <w:proofErr w:type="gramStart"/>
            <w:r>
              <w:t>открывать</w:t>
            </w:r>
            <w:proofErr w:type="gramEnd"/>
            <w:r>
              <w:t xml:space="preserve"> в ИБС лицевые счета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16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Для </w:t>
            </w:r>
            <w:proofErr w:type="gramStart"/>
            <w:r>
              <w:t>отражения</w:t>
            </w:r>
            <w:proofErr w:type="gramEnd"/>
            <w:r>
              <w:t xml:space="preserve"> каких операций используются ранее закрытые лицевые счета повторно: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операций, совершаемых на основе договоров банковского счета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операций, совершаемых на основе договоров банковского вклада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- иных операций (указать каких)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17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Имеют ли вкладчики возможность посредством дистанционного доступа через личный кабинет получить информацию обо всех открытых ими в банке вкладах и остатках на них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18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Каким образом осуществляется инкассация наличных денег из ка</w:t>
            </w:r>
            <w:proofErr w:type="gramStart"/>
            <w:r>
              <w:t>сс стр</w:t>
            </w:r>
            <w:proofErr w:type="gramEnd"/>
            <w:r>
              <w:t>уктурных подразделений в кассу головного офиса:</w:t>
            </w:r>
          </w:p>
          <w:p w:rsidR="00D635FC" w:rsidRDefault="00D635FC">
            <w:pPr>
              <w:pStyle w:val="ConsPlusNormal"/>
            </w:pPr>
            <w:r>
              <w:t>- инкассаторской службой банка;</w:t>
            </w:r>
          </w:p>
          <w:p w:rsidR="00D635FC" w:rsidRDefault="00D635FC">
            <w:pPr>
              <w:pStyle w:val="ConsPlusNormal"/>
            </w:pPr>
            <w:r>
              <w:t>- сторонней инкассаторской организацией согласно договору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19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Осуществляются ли службой внутреннего аудита предусмотренные </w:t>
            </w:r>
            <w:r>
              <w:rPr>
                <w:color w:val="0000FF"/>
              </w:rPr>
              <w:t>пунктом 4.1.7</w:t>
            </w:r>
            <w:r>
              <w:t xml:space="preserve"> Положения Банка России N 242-П "Об организации внутреннего контроля в кредитных организациях и банковских группах" проверки процессов и процедур внутреннего контроля в отношении операций по открытию банковских счетов, привлечению сре</w:t>
            </w:r>
            <w:proofErr w:type="gramStart"/>
            <w:r>
              <w:t>дств в д</w:t>
            </w:r>
            <w:proofErr w:type="gramEnd"/>
            <w:r>
              <w:t>епозиты и вклады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20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 xml:space="preserve">Осуществляются ли службой внутреннего аудита предусмотренные </w:t>
            </w:r>
            <w:r>
              <w:rPr>
                <w:color w:val="0000FF"/>
              </w:rPr>
              <w:t>пунктом 4.1.4</w:t>
            </w:r>
            <w:r>
              <w:t xml:space="preserve"> Положения Банка России N 242-П проверки и тестирование достоверности, полноты и своевременности бухгалтерского учета и отчетности, а также надежности сбора и представления информации и отчетности, в том числе по вопросам, предусмотренным </w:t>
            </w:r>
            <w:r>
              <w:rPr>
                <w:color w:val="0000FF"/>
              </w:rPr>
              <w:t>приложением 3</w:t>
            </w:r>
            <w:r>
              <w:t xml:space="preserve"> к Положению N 242-П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21.1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Достоверность учета (отчетности) кредитной организации операций по привлечению денежных средств, включая вклады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Своевременность и полнота уплаты банком страховых взносов в фонд обязательного страхования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Представление банком вкладчикам информации о своем участии в системе страхования вкладов, о порядке и размерах возмещения по вкладам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21.4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Способность банка подготовить реестр обязательств банка перед вкладчиками по установленной форме и в установленный срок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21.5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Соответствие условий заключенных договоров банковского вклада (депозита) требованиям законодательства РФ и внутренним документам кредитной организации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21.6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proofErr w:type="gramStart"/>
            <w:r>
              <w:t xml:space="preserve">Соблюдение кредитной организацией требований, предусмотренных внутренними документами, регламентирующими депозитную и процентную политики, процедуры открытия и закрытия банковских счетов (счетов по вкладам (депозитам) физических лиц, порядка получения </w:t>
            </w:r>
            <w:r>
              <w:lastRenderedPageBreak/>
              <w:t>(возврата) денежных средств (в том числе в наличной форме) при открытии (закрытии) банковских счетов (счетов по вкладам (депозитам) физических лиц))</w:t>
            </w:r>
            <w:proofErr w:type="gramEnd"/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lastRenderedPageBreak/>
              <w:t>21.7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Соблюдение кредитной организацией требований Банка России по порядку начисления процентов по операциям, связанным с привлечением денежных средств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21.8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Соблюдение кредитной организацией обязательств по заключенным договорам на привлечение денежных средств физических лиц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21.9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Соблюдение мер, направленных на предотвращение конфликта интересов, связанного с осуществлением работниками кредитной организации одновременно функций по заключению договоров банковского вклада (депозита), составлению кассовых документов и отражению операций по привлечению денежных средств во вклады в бухгалтерском учете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22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Были ли установлены службой внутреннего аудита в ходе проверок случаи недобросовестных действий персонала банка при совершении операций с вкладами граждан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Если ответ "да", то указать временной период и раскрыть другую информацию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  <w:tr w:rsidR="00D635FC">
        <w:tc>
          <w:tcPr>
            <w:tcW w:w="737" w:type="dxa"/>
            <w:tcBorders>
              <w:left w:val="nil"/>
            </w:tcBorders>
          </w:tcPr>
          <w:p w:rsidR="00D635FC" w:rsidRDefault="00D635FC">
            <w:pPr>
              <w:pStyle w:val="ConsPlusNormal"/>
            </w:pPr>
            <w:r>
              <w:t>23</w:t>
            </w:r>
          </w:p>
        </w:tc>
        <w:tc>
          <w:tcPr>
            <w:tcW w:w="6463" w:type="dxa"/>
          </w:tcPr>
          <w:p w:rsidR="00D635FC" w:rsidRDefault="00D635FC">
            <w:pPr>
              <w:pStyle w:val="ConsPlusNormal"/>
            </w:pPr>
            <w:r>
              <w:t>Предусмотрены ли специальные контрольные процедуры проверки полноты и достоверности реестра вкладчиков, предоставляемого в АСВ</w:t>
            </w:r>
          </w:p>
        </w:tc>
        <w:tc>
          <w:tcPr>
            <w:tcW w:w="1814" w:type="dxa"/>
            <w:tcBorders>
              <w:right w:val="nil"/>
            </w:tcBorders>
          </w:tcPr>
          <w:p w:rsidR="00D635FC" w:rsidRDefault="00D635FC">
            <w:pPr>
              <w:pStyle w:val="ConsPlusNormal"/>
            </w:pPr>
          </w:p>
        </w:tc>
      </w:tr>
    </w:tbl>
    <w:p w:rsidR="00D635FC" w:rsidRDefault="00D635FC">
      <w:pPr>
        <w:pStyle w:val="ConsPlusNormal"/>
        <w:ind w:firstLine="540"/>
        <w:jc w:val="both"/>
      </w:pPr>
    </w:p>
    <w:p w:rsidR="00D635FC" w:rsidRDefault="00D635FC">
      <w:pPr>
        <w:pStyle w:val="ConsPlusNormal"/>
        <w:ind w:firstLine="540"/>
        <w:jc w:val="both"/>
      </w:pPr>
      <w:r>
        <w:t>Примечание: при ответе "да" к запросу следует приложить документы, подтверждающие обоснованность ответа.</w:t>
      </w:r>
    </w:p>
    <w:p w:rsidR="00D635FC" w:rsidRDefault="00D635FC">
      <w:pPr>
        <w:pStyle w:val="ConsPlusNormal"/>
        <w:ind w:firstLine="540"/>
        <w:jc w:val="both"/>
      </w:pPr>
    </w:p>
    <w:p w:rsidR="00D635FC" w:rsidRDefault="00D635FC">
      <w:pPr>
        <w:pStyle w:val="ConsPlusNormal"/>
        <w:ind w:firstLine="540"/>
        <w:jc w:val="both"/>
      </w:pPr>
    </w:p>
    <w:p w:rsidR="00D635FC" w:rsidRDefault="00D63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8C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5FC"/>
    <w:rsid w:val="00177DF8"/>
    <w:rsid w:val="004F78D6"/>
    <w:rsid w:val="00501705"/>
    <w:rsid w:val="00B14A45"/>
    <w:rsid w:val="00D6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7852</Characters>
  <Application>Microsoft Office Word</Application>
  <DocSecurity>0</DocSecurity>
  <Lines>65</Lines>
  <Paragraphs>18</Paragraphs>
  <ScaleCrop>false</ScaleCrop>
  <Company>*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</cp:revision>
  <dcterms:created xsi:type="dcterms:W3CDTF">2017-12-06T12:38:00Z</dcterms:created>
  <dcterms:modified xsi:type="dcterms:W3CDTF">2017-12-19T04:14:00Z</dcterms:modified>
</cp:coreProperties>
</file>